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952"/>
        <w:gridCol w:w="2425"/>
      </w:tblGrid>
      <w:tr w:rsidR="00485B62" w:rsidRPr="00485B62" w14:paraId="01FCB80B" w14:textId="77777777" w:rsidTr="004E1B51">
        <w:trPr>
          <w:trHeight w:val="841"/>
        </w:trPr>
        <w:tc>
          <w:tcPr>
            <w:tcW w:w="95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8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17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CA52E2E" w:rsidR="00A835E5" w:rsidRPr="0007027E" w:rsidRDefault="00A835E5" w:rsidP="00CC068D">
            <w:pPr>
              <w:rPr>
                <w:i/>
                <w:color w:val="auto"/>
                <w:sz w:val="24"/>
                <w:szCs w:val="24"/>
                <w:lang w:val="vi-VN"/>
              </w:rPr>
            </w:pPr>
            <w:r w:rsidRPr="0007027E">
              <w:rPr>
                <w:i/>
                <w:color w:val="auto"/>
                <w:sz w:val="24"/>
                <w:szCs w:val="24"/>
                <w:lang w:val="sv-SE"/>
              </w:rPr>
              <w:t>Mã số:</w:t>
            </w:r>
            <w:r w:rsidR="004E1B51">
              <w:rPr>
                <w:i/>
                <w:color w:val="auto"/>
                <w:sz w:val="24"/>
                <w:szCs w:val="24"/>
                <w:lang w:val="sv-SE"/>
              </w:rPr>
              <w:t xml:space="preserve"> KTK30/2025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B663E9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F240A2">
              <w:rPr>
                <w:i/>
                <w:color w:val="auto"/>
                <w:sz w:val="24"/>
                <w:szCs w:val="24"/>
                <w:lang w:val="en-GB"/>
              </w:rPr>
              <w:t>5</w:t>
            </w:r>
          </w:p>
        </w:tc>
      </w:tr>
      <w:tr w:rsidR="00485B62" w:rsidRPr="00485B62" w14:paraId="10362D18" w14:textId="77777777" w:rsidTr="004E1B51">
        <w:trPr>
          <w:trHeight w:val="1125"/>
        </w:trPr>
        <w:tc>
          <w:tcPr>
            <w:tcW w:w="95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8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4BAAB8BA" w:rsidR="00260453" w:rsidRPr="004E1B51" w:rsidRDefault="008E63BD" w:rsidP="004E1B51">
            <w:pPr>
              <w:autoSpaceDE w:val="0"/>
              <w:autoSpaceDN w:val="0"/>
              <w:adjustRightInd w:val="0"/>
              <w:spacing w:before="120"/>
              <w:jc w:val="center"/>
              <w:rPr>
                <w:b/>
                <w:bCs/>
                <w:sz w:val="28"/>
                <w:szCs w:val="28"/>
                <w:lang w:val="vi-VN"/>
              </w:rPr>
            </w:pPr>
            <w:r w:rsidRPr="008E63BD">
              <w:rPr>
                <w:b/>
                <w:bCs/>
                <w:sz w:val="28"/>
                <w:szCs w:val="28"/>
                <w:lang w:val="vi-VN"/>
              </w:rPr>
              <w:t>CỐ ĐỊNH CỘT SỐNG CỔ BẰNG NẸP CỨNG</w:t>
            </w:r>
          </w:p>
        </w:tc>
        <w:tc>
          <w:tcPr>
            <w:tcW w:w="117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2779"/>
        <w:gridCol w:w="2860"/>
        <w:gridCol w:w="3022"/>
      </w:tblGrid>
      <w:tr w:rsidR="00485B62" w:rsidRPr="00485B62" w14:paraId="17C767A1" w14:textId="77777777" w:rsidTr="004E1B51">
        <w:trPr>
          <w:trHeight w:val="500"/>
          <w:jc w:val="center"/>
        </w:trPr>
        <w:tc>
          <w:tcPr>
            <w:tcW w:w="761"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36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79"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4E1B51">
        <w:trPr>
          <w:trHeight w:val="462"/>
          <w:jc w:val="center"/>
        </w:trPr>
        <w:tc>
          <w:tcPr>
            <w:tcW w:w="761"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36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79"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4E1B51">
        <w:trPr>
          <w:trHeight w:val="2391"/>
          <w:jc w:val="center"/>
        </w:trPr>
        <w:tc>
          <w:tcPr>
            <w:tcW w:w="761"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36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79"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4E1B51">
        <w:trPr>
          <w:trHeight w:val="554"/>
          <w:jc w:val="center"/>
        </w:trPr>
        <w:tc>
          <w:tcPr>
            <w:tcW w:w="761"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36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79"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4E1B51">
        <w:trPr>
          <w:trHeight w:val="840"/>
          <w:jc w:val="center"/>
        </w:trPr>
        <w:tc>
          <w:tcPr>
            <w:tcW w:w="761"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36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79"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633D81C8" w:rsidR="00F240A2" w:rsidRPr="00322D19" w:rsidRDefault="008E63BD" w:rsidP="004E1B51">
      <w:pPr>
        <w:pStyle w:val="ListParagraph"/>
        <w:autoSpaceDE w:val="0"/>
        <w:autoSpaceDN w:val="0"/>
        <w:adjustRightInd w:val="0"/>
        <w:spacing w:after="160" w:line="278" w:lineRule="auto"/>
        <w:ind w:left="0" w:firstLine="709"/>
        <w:rPr>
          <w:rFonts w:cs="Times New Roman"/>
          <w:szCs w:val="28"/>
        </w:rPr>
      </w:pPr>
      <w:r w:rsidRPr="008E63BD">
        <w:rPr>
          <w:rFonts w:cs="Times New Roman"/>
          <w:szCs w:val="28"/>
        </w:rPr>
        <w:t>Quyết định số 4825/QĐ-BYT ngày 7/9/2016 ban hành Hướng dẫn Quy trình kỹ thuật Nhi khoa</w:t>
      </w:r>
      <w:bookmarkStart w:id="0" w:name="_GoBack"/>
      <w:bookmarkEnd w:id="0"/>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4E5595A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I. ĐẠI CƯƠNG</w:t>
      </w:r>
    </w:p>
    <w:p w14:paraId="445B1510" w14:textId="5FE7BD7B"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Tất cả</w:t>
      </w:r>
      <w:r w:rsidR="004B5BF8">
        <w:rPr>
          <w:rFonts w:cs="Times New Roman"/>
          <w:szCs w:val="28"/>
          <w:lang w:val="fr-FR"/>
        </w:rPr>
        <w:t xml:space="preserve"> người</w:t>
      </w:r>
      <w:r w:rsidRPr="008E63BD">
        <w:rPr>
          <w:rFonts w:cs="Times New Roman"/>
          <w:szCs w:val="28"/>
          <w:lang w:val="fr-FR"/>
        </w:rPr>
        <w:t xml:space="preserve"> bị chấn thương nặng phải được cố định cột sống cổ</w:t>
      </w:r>
    </w:p>
    <w:p w14:paraId="7543E824"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Chỉ được bỏ ra khi đã được khám xét hỏi bệnh và các xét nghiệm đầy đủ</w:t>
      </w:r>
      <w:r w:rsidRPr="008E63BD">
        <w:rPr>
          <w:rFonts w:cs="Times New Roman"/>
          <w:szCs w:val="28"/>
          <w:lang w:val="vi-VN"/>
        </w:rPr>
        <w:t xml:space="preserve"> </w:t>
      </w:r>
      <w:r w:rsidRPr="008E63BD">
        <w:rPr>
          <w:rFonts w:cs="Times New Roman"/>
          <w:szCs w:val="28"/>
          <w:lang w:val="fr-FR"/>
        </w:rPr>
        <w:t>loại trừ chấn thương cột sống cổ.</w:t>
      </w:r>
    </w:p>
    <w:p w14:paraId="492DAB68"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Cố định cổ theo đường thẳng trước khi có cố định bằng nẹp cổ, những tr</w:t>
      </w:r>
      <w:r w:rsidRPr="008E63BD">
        <w:rPr>
          <w:rFonts w:cs="Times New Roman"/>
          <w:szCs w:val="28"/>
          <w:lang w:val="vi-VN"/>
        </w:rPr>
        <w:t>ẻ</w:t>
      </w:r>
      <w:r w:rsidRPr="008E63BD">
        <w:rPr>
          <w:rFonts w:cs="Times New Roman"/>
          <w:szCs w:val="28"/>
          <w:lang w:val="fr-FR"/>
        </w:rPr>
        <w:t xml:space="preserve"> phải di chuyển đến các cơ sở khác phải được cố định thêm bằng dây, túi cát hoặc đệm chân không.</w:t>
      </w:r>
    </w:p>
    <w:p w14:paraId="78159835"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II. CHỈ ĐỊNH</w:t>
      </w:r>
    </w:p>
    <w:p w14:paraId="6F7D2AE1"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Tất cả các trường hợp chấn thương nặng</w:t>
      </w:r>
    </w:p>
    <w:p w14:paraId="2FE2DCDF"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Cơ chế chấn thương liên quan với nguy cơ cao tổn thương tủy.</w:t>
      </w:r>
    </w:p>
    <w:p w14:paraId="2D40167A"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Đau, tăng cảm giác đau, sưng cổ, biến dạng cột sống.</w:t>
      </w:r>
    </w:p>
    <w:p w14:paraId="0EAB1A65"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Yếu hoặc giảm vận động của chi (liệt)</w:t>
      </w:r>
    </w:p>
    <w:p w14:paraId="55204086"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N</w:t>
      </w:r>
      <w:r w:rsidRPr="008E63BD">
        <w:rPr>
          <w:rFonts w:cs="Times New Roman"/>
          <w:szCs w:val="28"/>
          <w:lang w:val="vi-VN"/>
        </w:rPr>
        <w:t>ô</w:t>
      </w:r>
      <w:r w:rsidRPr="008E63BD">
        <w:rPr>
          <w:rFonts w:cs="Times New Roman"/>
          <w:szCs w:val="28"/>
          <w:lang w:val="fr-FR"/>
        </w:rPr>
        <w:t xml:space="preserve">n, đau </w:t>
      </w:r>
      <w:r w:rsidRPr="008E63BD">
        <w:rPr>
          <w:rFonts w:cs="Times New Roman"/>
          <w:szCs w:val="28"/>
          <w:lang w:val="vi-VN"/>
        </w:rPr>
        <w:t>đ</w:t>
      </w:r>
      <w:r w:rsidRPr="008E63BD">
        <w:rPr>
          <w:rFonts w:cs="Times New Roman"/>
          <w:szCs w:val="28"/>
          <w:lang w:val="fr-FR"/>
        </w:rPr>
        <w:t>ầu, choáng váng</w:t>
      </w:r>
    </w:p>
    <w:p w14:paraId="5158387C"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Giảm hoặc mất cảm giác trên da</w:t>
      </w:r>
    </w:p>
    <w:p w14:paraId="407BC4CA"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Dấu hiệu liên quan tới chấn thương đầu</w:t>
      </w:r>
    </w:p>
    <w:p w14:paraId="673947C1"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Suy giảm tri giác</w:t>
      </w:r>
    </w:p>
    <w:p w14:paraId="1B82B72B"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Khó thở</w:t>
      </w:r>
    </w:p>
    <w:p w14:paraId="00B9B05C"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Sốc</w:t>
      </w:r>
    </w:p>
    <w:p w14:paraId="6EAF74B0"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Thay đổi trương lực cơ</w:t>
      </w:r>
    </w:p>
    <w:p w14:paraId="5C1C77C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Rối loạn đại tiểu tiện</w:t>
      </w:r>
    </w:p>
    <w:p w14:paraId="4B2BEBA1"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IV. CHUẨN BỊ</w:t>
      </w:r>
    </w:p>
    <w:p w14:paraId="6EFB4D43"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lastRenderedPageBreak/>
        <w:t>1. Người thực hiện</w:t>
      </w:r>
    </w:p>
    <w:p w14:paraId="39CFF202"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Bác sỹ chấn thương, bác sỹ đa khoa, điều dưỡng hoặc kỹ thuật viên được</w:t>
      </w:r>
      <w:r w:rsidRPr="008E63BD">
        <w:rPr>
          <w:rFonts w:cs="Times New Roman"/>
          <w:szCs w:val="28"/>
          <w:lang w:val="vi-VN"/>
        </w:rPr>
        <w:t xml:space="preserve"> </w:t>
      </w:r>
      <w:r w:rsidRPr="008E63BD">
        <w:rPr>
          <w:rFonts w:cs="Times New Roman"/>
          <w:szCs w:val="28"/>
          <w:lang w:val="fr-FR"/>
        </w:rPr>
        <w:t>đào tạo về kỹ năng cố định cột sống cổ.</w:t>
      </w:r>
    </w:p>
    <w:p w14:paraId="79841B80"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2. Phương tiện</w:t>
      </w:r>
    </w:p>
    <w:p w14:paraId="5C20097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Nẹp cổ các cỡ</w:t>
      </w:r>
    </w:p>
    <w:p w14:paraId="5417FFC2"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Bao cát</w:t>
      </w:r>
    </w:p>
    <w:p w14:paraId="37BB9409"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Băng cuộn, gạc cầm máu vô khuẩn</w:t>
      </w:r>
    </w:p>
    <w:p w14:paraId="322AFFF4"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Bông cồn sát khuẩn</w:t>
      </w:r>
    </w:p>
    <w:p w14:paraId="36A9EF96"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Băng dính cố định</w:t>
      </w:r>
    </w:p>
    <w:p w14:paraId="30590CF5"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3. Người bệnh</w:t>
      </w:r>
    </w:p>
    <w:p w14:paraId="6352E712"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Nằm ngửa trên nền cứng và được người thực hiện giải thích về kỹ thuật sắp làm.</w:t>
      </w:r>
    </w:p>
    <w:p w14:paraId="7E779618"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4. Hồ sơ bệnh án</w:t>
      </w:r>
    </w:p>
    <w:p w14:paraId="4CC620E3"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Ghi chép đầy đủ thông tin người bệnh, phiếu cam kết thủ thuật và kỹ thuật thực hiện.</w:t>
      </w:r>
    </w:p>
    <w:p w14:paraId="67E87C34"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V. CÁC BƯỚC TIẾN HÀNH</w:t>
      </w:r>
    </w:p>
    <w:p w14:paraId="5CF1CBA1"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1. Kiểm tra hồ sơ</w:t>
      </w:r>
    </w:p>
    <w:p w14:paraId="431DB92D"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Kiểm tra lại chỉ định, chống chỉ định</w:t>
      </w:r>
    </w:p>
    <w:p w14:paraId="6655DD72"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2. Kiểm tra người bệnh</w:t>
      </w:r>
    </w:p>
    <w:p w14:paraId="071D400D"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Tình trạng toàn thân</w:t>
      </w:r>
    </w:p>
    <w:p w14:paraId="082ED9D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3. Thực hiện kỹ thuật</w:t>
      </w:r>
    </w:p>
    <w:p w14:paraId="0867B98B"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i/>
          <w:iCs/>
          <w:szCs w:val="28"/>
          <w:lang w:val="fr-FR"/>
        </w:rPr>
        <w:t>3.1. Kỹ thuật cố định đầu bằng nẹp cổ</w:t>
      </w:r>
    </w:p>
    <w:p w14:paraId="0E45B1F6"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Đo kích thước dụng cụ</w:t>
      </w:r>
    </w:p>
    <w:p w14:paraId="22C8E124"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Có nhiều cỡ nẹp cổ</w:t>
      </w:r>
    </w:p>
    <w:p w14:paraId="0F71F374" w14:textId="732B21C7" w:rsidR="008E63BD" w:rsidRPr="008E63BD" w:rsidRDefault="008E63BD" w:rsidP="008E63BD">
      <w:pPr>
        <w:autoSpaceDE w:val="0"/>
        <w:autoSpaceDN w:val="0"/>
        <w:adjustRightInd w:val="0"/>
        <w:jc w:val="both"/>
        <w:rPr>
          <w:rFonts w:cs="Times New Roman"/>
          <w:szCs w:val="28"/>
          <w:lang w:val="vi-VN"/>
        </w:rPr>
      </w:pPr>
      <w:r w:rsidRPr="008E63BD">
        <w:rPr>
          <w:rFonts w:cs="Times New Roman"/>
          <w:noProof/>
          <w:szCs w:val="28"/>
          <w:lang w:val="en-US"/>
        </w:rPr>
        <w:lastRenderedPageBreak/>
        <w:drawing>
          <wp:inline distT="0" distB="0" distL="0" distR="0" wp14:anchorId="20107A32" wp14:editId="55BA9D23">
            <wp:extent cx="5274310" cy="1894840"/>
            <wp:effectExtent l="0" t="0" r="2540" b="0"/>
            <wp:docPr id="1242996596" name="Picture 1" descr="A person using an object to do cp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996596" name="Picture 1" descr="A person using an object to do cpr&#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1894840"/>
                    </a:xfrm>
                    <a:prstGeom prst="rect">
                      <a:avLst/>
                    </a:prstGeom>
                    <a:noFill/>
                    <a:ln>
                      <a:noFill/>
                    </a:ln>
                  </pic:spPr>
                </pic:pic>
              </a:graphicData>
            </a:graphic>
          </wp:inline>
        </w:drawing>
      </w:r>
    </w:p>
    <w:p w14:paraId="219566A9" w14:textId="77777777" w:rsidR="008E63BD" w:rsidRPr="008E63BD" w:rsidRDefault="008E63BD" w:rsidP="008E63BD">
      <w:pPr>
        <w:autoSpaceDE w:val="0"/>
        <w:autoSpaceDN w:val="0"/>
        <w:adjustRightInd w:val="0"/>
        <w:jc w:val="both"/>
        <w:rPr>
          <w:rFonts w:cs="Times New Roman"/>
          <w:szCs w:val="28"/>
          <w:lang w:val="vi-VN"/>
        </w:rPr>
      </w:pPr>
      <w:r w:rsidRPr="008E63BD">
        <w:rPr>
          <w:rFonts w:cs="Times New Roman"/>
          <w:szCs w:val="28"/>
          <w:lang w:val="vi-VN"/>
        </w:rPr>
        <w:t>Hình: cố định cột sống cổ theo đường thẳng</w:t>
      </w:r>
    </w:p>
    <w:p w14:paraId="7B9019BD"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Một người giữ và cố định cột sống cổ trên đường thẳng</w:t>
      </w:r>
    </w:p>
    <w:p w14:paraId="6238584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Một người khác lựa chọn cỡ nẹp cho thích hợp</w:t>
      </w:r>
    </w:p>
    <w:p w14:paraId="269F75EF"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Lắp nẹp và làm phẳng nẹp cổ</w:t>
      </w:r>
    </w:p>
    <w:p w14:paraId="4E7C1901"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xml:space="preserve">- Gập phần dẹt của nẹp qua dưới cổ </w:t>
      </w:r>
      <w:r w:rsidRPr="008E63BD">
        <w:rPr>
          <w:rFonts w:cs="Times New Roman"/>
          <w:szCs w:val="28"/>
          <w:lang w:val="vi-VN"/>
        </w:rPr>
        <w:t>(</w:t>
      </w:r>
      <w:r w:rsidRPr="008E63BD">
        <w:rPr>
          <w:rFonts w:cs="Times New Roman"/>
          <w:szCs w:val="28"/>
          <w:lang w:val="fr-FR"/>
        </w:rPr>
        <w:t>tránh làm di động cổ người bệnh)</w:t>
      </w:r>
    </w:p>
    <w:p w14:paraId="09D82AA3"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Gập phần hình khuôn của nẹp và đặt vào dưới cằm của người bệnh</w:t>
      </w:r>
    </w:p>
    <w:p w14:paraId="44E85893"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Gập phần dẹt của nẹp xung quanh cho đến khi tiếp xúc với phần khuôn</w:t>
      </w:r>
    </w:p>
    <w:p w14:paraId="209AE36F"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Đánh giá xem nẹp có vừa khít không</w:t>
      </w:r>
    </w:p>
    <w:p w14:paraId="7113DF9B"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Nếu chưa vừa thì phải tháo bỏ nẹp và chọn nẹp khác và tiến hành lại theo các bước đã mô tả ở trên. Trong quá trình thực hiện thủ thuật chú ý tránh làm di động cổ của người bệnh.</w:t>
      </w:r>
    </w:p>
    <w:p w14:paraId="227625B0"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Sau khi đã chọn và đặt được nẹp phù hợp tiến hành cố định nẹp (thắt lại</w:t>
      </w:r>
      <w:r w:rsidRPr="008E63BD">
        <w:rPr>
          <w:rFonts w:cs="Times New Roman"/>
          <w:szCs w:val="28"/>
          <w:lang w:val="vi-VN"/>
        </w:rPr>
        <w:t xml:space="preserve"> </w:t>
      </w:r>
      <w:r w:rsidRPr="008E63BD">
        <w:rPr>
          <w:rFonts w:cs="Times New Roman"/>
          <w:szCs w:val="28"/>
          <w:lang w:val="fr-FR"/>
        </w:rPr>
        <w:t>các điểm nối).</w:t>
      </w:r>
    </w:p>
    <w:p w14:paraId="2990857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Tiếp tục giữ đầu - cổ ở đường giữa cho đến khi đầu được cố định bằng</w:t>
      </w:r>
      <w:r w:rsidRPr="008E63BD">
        <w:rPr>
          <w:rFonts w:cs="Times New Roman"/>
          <w:szCs w:val="28"/>
          <w:lang w:val="vi-VN"/>
        </w:rPr>
        <w:t xml:space="preserve"> </w:t>
      </w:r>
      <w:r w:rsidRPr="008E63BD">
        <w:rPr>
          <w:rFonts w:cs="Times New Roman"/>
          <w:szCs w:val="28"/>
          <w:lang w:val="fr-FR"/>
        </w:rPr>
        <w:t>túi cát và băng cuộn.</w:t>
      </w:r>
    </w:p>
    <w:p w14:paraId="285CE65F"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i/>
          <w:iCs/>
          <w:szCs w:val="28"/>
          <w:lang w:val="fr-FR"/>
        </w:rPr>
        <w:t>3.2. Kỹ thuật cố định đầu bằng t</w:t>
      </w:r>
      <w:r w:rsidRPr="008E63BD">
        <w:rPr>
          <w:rFonts w:cs="Times New Roman"/>
          <w:b/>
          <w:bCs/>
          <w:i/>
          <w:iCs/>
          <w:szCs w:val="28"/>
          <w:lang w:val="vi-VN"/>
        </w:rPr>
        <w:t>ú</w:t>
      </w:r>
      <w:r w:rsidRPr="008E63BD">
        <w:rPr>
          <w:rFonts w:cs="Times New Roman"/>
          <w:b/>
          <w:bCs/>
          <w:i/>
          <w:iCs/>
          <w:szCs w:val="28"/>
          <w:lang w:val="fr-FR"/>
        </w:rPr>
        <w:t>i cát và băng cuộn</w:t>
      </w:r>
    </w:p>
    <w:p w14:paraId="0EFE9093"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i/>
          <w:iCs/>
          <w:szCs w:val="28"/>
          <w:lang w:val="fr-FR"/>
        </w:rPr>
        <w:t>Dụng cụ</w:t>
      </w:r>
    </w:p>
    <w:p w14:paraId="56FD0482"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- 2 túi cát</w:t>
      </w:r>
    </w:p>
    <w:p w14:paraId="43A2D66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Băng cuộn</w:t>
      </w:r>
    </w:p>
    <w:p w14:paraId="59080BD4"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i/>
          <w:iCs/>
          <w:szCs w:val="28"/>
          <w:lang w:val="fr-FR"/>
        </w:rPr>
        <w:t>Phương pháp</w:t>
      </w:r>
    </w:p>
    <w:p w14:paraId="24BA98C3"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Một người cố định và giữ cổ trên đường thẳng</w:t>
      </w:r>
    </w:p>
    <w:p w14:paraId="2583350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Đặt 2 túi cát ở hai bên đầu người bệnh</w:t>
      </w:r>
    </w:p>
    <w:p w14:paraId="35960C42"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Đặt băng cuộn đi qua trán và cố định chắc vào 2 bên của thành cáng</w:t>
      </w:r>
    </w:p>
    <w:p w14:paraId="58611B1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lastRenderedPageBreak/>
        <w:t>- Đặt một băng cuộn khác đi qua phần cằm của nẹp cổ cứng rồi cố định chắc vào 2 bên của thành cáng.</w:t>
      </w:r>
    </w:p>
    <w:p w14:paraId="20591667"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i/>
          <w:iCs/>
          <w:szCs w:val="28"/>
          <w:lang w:val="fr-FR"/>
        </w:rPr>
        <w:t xml:space="preserve">Chú </w:t>
      </w:r>
      <w:proofErr w:type="gramStart"/>
      <w:r w:rsidRPr="008E63BD">
        <w:rPr>
          <w:rFonts w:cs="Times New Roman"/>
          <w:b/>
          <w:bCs/>
          <w:i/>
          <w:iCs/>
          <w:szCs w:val="28"/>
          <w:lang w:val="fr-FR"/>
        </w:rPr>
        <w:t>ý</w:t>
      </w:r>
      <w:r w:rsidRPr="008E63BD">
        <w:rPr>
          <w:rFonts w:cs="Times New Roman"/>
          <w:szCs w:val="28"/>
          <w:lang w:val="fr-FR"/>
        </w:rPr>
        <w:t>:</w:t>
      </w:r>
      <w:proofErr w:type="gramEnd"/>
      <w:r w:rsidRPr="008E63BD">
        <w:rPr>
          <w:rFonts w:cs="Times New Roman"/>
          <w:szCs w:val="28"/>
          <w:lang w:val="fr-FR"/>
        </w:rPr>
        <w:t xml:space="preserve"> Có hai tình huống đặc biệt</w:t>
      </w:r>
    </w:p>
    <w:p w14:paraId="14BD271E"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Những trường hợp trẻ bị tai nạn bất ngờ sẽ rất sợ hãi, không phối hợp.</w:t>
      </w:r>
    </w:p>
    <w:p w14:paraId="37925821"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Trường hợp trẻ bị thiếu oxy và giãy dụa.</w:t>
      </w:r>
    </w:p>
    <w:p w14:paraId="044BC69B"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Cả hai tình huống này đều làm cho việc cố định cổ rất khó khăn, thậm chí còn làm cho cổ di lệch vì tr</w:t>
      </w:r>
      <w:r w:rsidRPr="008E63BD">
        <w:rPr>
          <w:rFonts w:cs="Times New Roman"/>
          <w:szCs w:val="28"/>
          <w:lang w:val="vi-VN"/>
        </w:rPr>
        <w:t>ẻ</w:t>
      </w:r>
      <w:r w:rsidRPr="008E63BD">
        <w:rPr>
          <w:rFonts w:cs="Times New Roman"/>
          <w:szCs w:val="28"/>
          <w:lang w:val="fr-FR"/>
        </w:rPr>
        <w:t xml:space="preserve"> giãy dụa chống lại bất kỳ sự ràng buộc nào. Trong những trường hợp như vậy thì chỉ cố gắng đặt nẹp cổ cứng và không nên cố đặt thêm túi cát và băng cuộn.</w:t>
      </w:r>
    </w:p>
    <w:p w14:paraId="6A0EC8E6"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VI. THEO DÕI</w:t>
      </w:r>
    </w:p>
    <w:p w14:paraId="543E2048"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Theo dõi di lệch của nẹp cổ, tai biến sau nẹp cổ có thể xảy ra.</w:t>
      </w:r>
    </w:p>
    <w:p w14:paraId="6E69463E"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b/>
          <w:bCs/>
          <w:szCs w:val="28"/>
          <w:lang w:val="fr-FR"/>
        </w:rPr>
        <w:t>VII. TAI BIẾN VÀ XỬ TRÍ</w:t>
      </w:r>
    </w:p>
    <w:p w14:paraId="57B89B6D"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Gây khó chịu và đau</w:t>
      </w:r>
    </w:p>
    <w:p w14:paraId="602F9BCF"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Hạn chế mở miệng và gây khó nuốt</w:t>
      </w:r>
    </w:p>
    <w:p w14:paraId="1D792DAB" w14:textId="77777777" w:rsidR="008E63BD" w:rsidRPr="008E63BD" w:rsidRDefault="008E63BD" w:rsidP="008E63BD">
      <w:pPr>
        <w:autoSpaceDE w:val="0"/>
        <w:autoSpaceDN w:val="0"/>
        <w:adjustRightInd w:val="0"/>
        <w:jc w:val="both"/>
        <w:rPr>
          <w:rFonts w:cs="Times New Roman"/>
          <w:szCs w:val="28"/>
          <w:lang w:val="fr-FR"/>
        </w:rPr>
      </w:pPr>
      <w:r w:rsidRPr="008E63BD">
        <w:rPr>
          <w:rFonts w:cs="Times New Roman"/>
          <w:szCs w:val="28"/>
          <w:lang w:val="fr-FR"/>
        </w:rPr>
        <w:t xml:space="preserve">- Làm tăng áp lực vùng cổ và làm tăng áp lực nội sọ </w:t>
      </w:r>
      <w:r w:rsidRPr="008E63BD">
        <w:rPr>
          <w:rFonts w:cs="Times New Roman"/>
          <w:szCs w:val="28"/>
          <w:lang w:val="vi-VN"/>
        </w:rPr>
        <w:t>(</w:t>
      </w:r>
      <w:r w:rsidRPr="008E63BD">
        <w:rPr>
          <w:rFonts w:cs="Times New Roman"/>
          <w:szCs w:val="28"/>
          <w:lang w:val="fr-FR"/>
        </w:rPr>
        <w:t>nguy cơ trong người bệnh chấn thương sọ não)</w:t>
      </w:r>
    </w:p>
    <w:p w14:paraId="4CD9A7F3" w14:textId="77777777" w:rsidR="008E63BD" w:rsidRPr="008E63BD" w:rsidRDefault="008E63BD" w:rsidP="008E63BD">
      <w:pPr>
        <w:autoSpaceDE w:val="0"/>
        <w:autoSpaceDN w:val="0"/>
        <w:adjustRightInd w:val="0"/>
        <w:jc w:val="both"/>
        <w:rPr>
          <w:rFonts w:cs="Times New Roman"/>
          <w:szCs w:val="28"/>
          <w:lang w:val="vi-VN"/>
        </w:rPr>
      </w:pPr>
      <w:r w:rsidRPr="008E63BD">
        <w:rPr>
          <w:rFonts w:cs="Times New Roman"/>
          <w:szCs w:val="28"/>
          <w:lang w:val="fr-FR"/>
        </w:rPr>
        <w:t>- Che dấu các nguy cơ đe dọa tiềm tàng</w:t>
      </w:r>
    </w:p>
    <w:p w14:paraId="550D0345" w14:textId="77777777" w:rsidR="008E63BD" w:rsidRPr="008E63BD" w:rsidRDefault="008E63BD" w:rsidP="008E63BD">
      <w:pPr>
        <w:autoSpaceDE w:val="0"/>
        <w:autoSpaceDN w:val="0"/>
        <w:adjustRightInd w:val="0"/>
        <w:jc w:val="both"/>
        <w:rPr>
          <w:rFonts w:cs="Times New Roman"/>
          <w:szCs w:val="28"/>
          <w:lang w:val="vi-VN"/>
        </w:rPr>
      </w:pP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10"/>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CDBCC" w14:textId="77777777" w:rsidR="00FE23FB" w:rsidRDefault="00FE23FB" w:rsidP="00616179">
      <w:pPr>
        <w:spacing w:before="0" w:after="0" w:line="240" w:lineRule="auto"/>
      </w:pPr>
      <w:r>
        <w:separator/>
      </w:r>
    </w:p>
  </w:endnote>
  <w:endnote w:type="continuationSeparator" w:id="0">
    <w:p w14:paraId="4EC69CD6" w14:textId="77777777" w:rsidR="00FE23FB" w:rsidRDefault="00FE23FB"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7F1F2DE0"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4E1B51">
          <w:rPr>
            <w:i/>
            <w:noProof/>
            <w:color w:val="FF0000"/>
          </w:rPr>
          <w:t>5</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43A8F" w14:textId="77777777" w:rsidR="00FE23FB" w:rsidRDefault="00FE23FB" w:rsidP="00616179">
      <w:pPr>
        <w:spacing w:before="0" w:after="0" w:line="240" w:lineRule="auto"/>
      </w:pPr>
      <w:r>
        <w:separator/>
      </w:r>
    </w:p>
  </w:footnote>
  <w:footnote w:type="continuationSeparator" w:id="0">
    <w:p w14:paraId="69667066" w14:textId="77777777" w:rsidR="00FE23FB" w:rsidRDefault="00FE23FB"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04B4"/>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BF8"/>
    <w:rsid w:val="004B5D1F"/>
    <w:rsid w:val="004C4315"/>
    <w:rsid w:val="004D5189"/>
    <w:rsid w:val="004E1B51"/>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32229"/>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E63BD"/>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23FB"/>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043F9-65A1-4FF1-9016-8844E44F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2025-10-08T01:08:00Z</dcterms:created>
  <dcterms:modified xsi:type="dcterms:W3CDTF">2025-10-09T03:30:00Z</dcterms:modified>
</cp:coreProperties>
</file>